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B4D21" w14:textId="2A609FB8" w:rsidR="006B32C6" w:rsidRPr="006B32C6" w:rsidRDefault="006B32C6" w:rsidP="006B32C6">
      <w:pPr>
        <w:jc w:val="center"/>
        <w:rPr>
          <w:color w:val="FF0000"/>
          <w:sz w:val="28"/>
          <w:szCs w:val="28"/>
        </w:rPr>
      </w:pPr>
      <w:r w:rsidRPr="006B32C6">
        <w:rPr>
          <w:color w:val="FF0000"/>
          <w:sz w:val="28"/>
          <w:szCs w:val="28"/>
        </w:rPr>
        <w:t>WISC-V e WAIS-IV: la valutazione cognitiva in età scolare e adulta</w:t>
      </w:r>
    </w:p>
    <w:p w14:paraId="776AC4ED" w14:textId="4ACAB83D" w:rsidR="000E3747" w:rsidRPr="000E3747" w:rsidRDefault="000E3747" w:rsidP="000E3747">
      <w:pPr>
        <w:jc w:val="center"/>
        <w:rPr>
          <w:b/>
          <w:bCs/>
          <w:color w:val="FF0000"/>
          <w:sz w:val="28"/>
          <w:szCs w:val="28"/>
        </w:rPr>
      </w:pPr>
    </w:p>
    <w:p w14:paraId="5611BA3F" w14:textId="77777777" w:rsidR="000E3747" w:rsidRDefault="000E3747">
      <w:r w:rsidRPr="000E3747">
        <w:rPr>
          <w:u w:val="single"/>
        </w:rPr>
        <w:t>Accreditamenti</w:t>
      </w:r>
      <w:r>
        <w:t>: Ministero della Salute</w:t>
      </w:r>
    </w:p>
    <w:p w14:paraId="0122F05C" w14:textId="3A3364EE" w:rsidR="000E3747" w:rsidRDefault="000E3747">
      <w:r w:rsidRPr="000E3747">
        <w:rPr>
          <w:u w:val="single"/>
        </w:rPr>
        <w:t>Crediti ECM</w:t>
      </w:r>
      <w:r>
        <w:t>:</w:t>
      </w:r>
      <w:r w:rsidR="006B32C6">
        <w:t xml:space="preserve"> 39</w:t>
      </w:r>
    </w:p>
    <w:p w14:paraId="5D0AEADF" w14:textId="167B125A" w:rsidR="00B85329" w:rsidRDefault="000E3747" w:rsidP="006B32C6">
      <w:pPr>
        <w:spacing w:before="120" w:after="120"/>
      </w:pPr>
      <w:r w:rsidRPr="000E3747">
        <w:rPr>
          <w:u w:val="single"/>
        </w:rPr>
        <w:t>Attestato</w:t>
      </w:r>
      <w:r w:rsidR="00EA76A0">
        <w:t xml:space="preserve">: </w:t>
      </w:r>
      <w:r w:rsidR="006B32C6" w:rsidRPr="006B32C6">
        <w:t xml:space="preserve">Competenza in </w:t>
      </w:r>
      <w:proofErr w:type="spellStart"/>
      <w:r w:rsidR="006B32C6" w:rsidRPr="006B32C6">
        <w:t>Wisc</w:t>
      </w:r>
      <w:proofErr w:type="spellEnd"/>
      <w:r w:rsidR="006B32C6" w:rsidRPr="006B32C6">
        <w:t>-V e Wais-IV: valutazione cognitiva in età scolare e adulta</w:t>
      </w:r>
    </w:p>
    <w:p w14:paraId="74B68E5C" w14:textId="77777777" w:rsidR="006B32C6" w:rsidRPr="006B32C6" w:rsidRDefault="000E3747" w:rsidP="006B32C6">
      <w:r w:rsidRPr="000E3747">
        <w:rPr>
          <w:u w:val="single"/>
        </w:rPr>
        <w:t>Destinatari</w:t>
      </w:r>
      <w:r>
        <w:t xml:space="preserve">: </w:t>
      </w:r>
      <w:r w:rsidR="006B32C6" w:rsidRPr="006B32C6">
        <w:t>La formazione è aperta a:</w:t>
      </w:r>
    </w:p>
    <w:p w14:paraId="1A804447" w14:textId="77777777" w:rsidR="006B32C6" w:rsidRPr="006B32C6" w:rsidRDefault="006B32C6" w:rsidP="006B32C6">
      <w:r w:rsidRPr="006B32C6">
        <w:t>-      Laureati in Psicologia;</w:t>
      </w:r>
    </w:p>
    <w:p w14:paraId="45C81E00" w14:textId="77777777" w:rsidR="006B32C6" w:rsidRPr="006B32C6" w:rsidRDefault="006B32C6" w:rsidP="006B32C6">
      <w:r w:rsidRPr="006B32C6">
        <w:t>-      Studenti in Psicologia con laurea triennale;</w:t>
      </w:r>
    </w:p>
    <w:p w14:paraId="2933C769" w14:textId="77777777" w:rsidR="006B32C6" w:rsidRPr="006B32C6" w:rsidRDefault="006B32C6" w:rsidP="006B32C6">
      <w:r w:rsidRPr="006B32C6">
        <w:t>-      Neuropsicologi di area clinica;</w:t>
      </w:r>
    </w:p>
    <w:p w14:paraId="4275BFB7" w14:textId="77777777" w:rsidR="006B32C6" w:rsidRPr="006B32C6" w:rsidRDefault="006B32C6" w:rsidP="006B32C6">
      <w:r w:rsidRPr="006B32C6">
        <w:t>provenienti da qualsiasi Università italiana o straniera equipollente.</w:t>
      </w:r>
    </w:p>
    <w:p w14:paraId="23FF8C45" w14:textId="3A48AEA4" w:rsidR="000E3747" w:rsidRDefault="000E3747"/>
    <w:p w14:paraId="432EFF60" w14:textId="7AFC9F4C" w:rsidR="000E3747" w:rsidRDefault="000E3747" w:rsidP="006B32C6">
      <w:pPr>
        <w:shd w:val="clear" w:color="auto" w:fill="FFFFFF"/>
        <w:jc w:val="both"/>
      </w:pPr>
      <w:r w:rsidRPr="000E3747">
        <w:rPr>
          <w:u w:val="single"/>
        </w:rPr>
        <w:t>Modalità di erogazione</w:t>
      </w:r>
      <w:r>
        <w:t xml:space="preserve">: </w:t>
      </w:r>
      <w:r w:rsidR="006B32C6" w:rsidRPr="006B32C6">
        <w:rPr>
          <w:rFonts w:cs="Libel Suit"/>
          <w:color w:val="000000"/>
          <w:sz w:val="23"/>
          <w:szCs w:val="23"/>
        </w:rPr>
        <w:t xml:space="preserve">2 lezioni frontali online e 2 lezioni pratiche in aula (Milano) per </w:t>
      </w:r>
      <w:proofErr w:type="spellStart"/>
      <w:r w:rsidR="006B32C6" w:rsidRPr="006B32C6">
        <w:rPr>
          <w:rFonts w:cs="Libel Suit"/>
          <w:color w:val="000000"/>
          <w:sz w:val="23"/>
          <w:szCs w:val="23"/>
        </w:rPr>
        <w:t>role</w:t>
      </w:r>
      <w:proofErr w:type="spellEnd"/>
      <w:r w:rsidR="006B32C6" w:rsidRPr="006B32C6">
        <w:rPr>
          <w:rFonts w:cs="Libel Suit"/>
          <w:color w:val="000000"/>
          <w:sz w:val="23"/>
          <w:szCs w:val="23"/>
        </w:rPr>
        <w:t>-playing della somministrazione delle scale.</w:t>
      </w:r>
    </w:p>
    <w:p w14:paraId="7D07DCE7" w14:textId="7F027A9D" w:rsidR="000E3747" w:rsidRDefault="00EA76A0">
      <w:r>
        <w:rPr>
          <w:u w:val="single"/>
        </w:rPr>
        <w:t>Programma del corso</w:t>
      </w:r>
      <w:r w:rsidR="000E3747">
        <w:t>:</w:t>
      </w:r>
    </w:p>
    <w:p w14:paraId="7E77866E" w14:textId="56686126" w:rsidR="00997A81" w:rsidRDefault="006B32C6" w:rsidP="00997A81">
      <w:pPr>
        <w:shd w:val="clear" w:color="auto" w:fill="FFFFFF"/>
        <w:spacing w:after="0" w:line="240" w:lineRule="auto"/>
        <w:rPr>
          <w:rFonts w:cs="Libel Suit"/>
          <w:color w:val="000000"/>
          <w:sz w:val="23"/>
          <w:szCs w:val="23"/>
        </w:rPr>
      </w:pPr>
      <w:r>
        <w:rPr>
          <w:rFonts w:cs="Libel Suit"/>
          <w:color w:val="000000"/>
          <w:sz w:val="23"/>
          <w:szCs w:val="23"/>
        </w:rPr>
        <w:t>21-22 giugno 2025: formazione online, in diretta</w:t>
      </w:r>
    </w:p>
    <w:p w14:paraId="76C202DF" w14:textId="4A6B0C6A" w:rsidR="006B32C6" w:rsidRDefault="006B32C6" w:rsidP="00997A81">
      <w:pPr>
        <w:shd w:val="clear" w:color="auto" w:fill="FFFFFF"/>
        <w:spacing w:after="0" w:line="240" w:lineRule="auto"/>
        <w:rPr>
          <w:rFonts w:cs="Libel Suit"/>
          <w:color w:val="000000"/>
          <w:sz w:val="23"/>
          <w:szCs w:val="23"/>
        </w:rPr>
      </w:pPr>
      <w:r>
        <w:rPr>
          <w:rFonts w:cs="Libel Suit"/>
          <w:color w:val="000000"/>
          <w:sz w:val="23"/>
          <w:szCs w:val="23"/>
        </w:rPr>
        <w:t>28-29 giugno 2025: formazione in aula, a Milano</w:t>
      </w:r>
    </w:p>
    <w:p w14:paraId="49EA71D2" w14:textId="77777777" w:rsidR="00970F8B" w:rsidRPr="00970F8B" w:rsidRDefault="00970F8B" w:rsidP="00997A81">
      <w:pPr>
        <w:shd w:val="clear" w:color="auto" w:fill="FFFFFF"/>
        <w:spacing w:after="0" w:line="240" w:lineRule="auto"/>
        <w:rPr>
          <w:rFonts w:cs="Libel Suit"/>
          <w:color w:val="000000"/>
          <w:sz w:val="23"/>
          <w:szCs w:val="23"/>
          <w:u w:val="single"/>
        </w:rPr>
      </w:pPr>
    </w:p>
    <w:p w14:paraId="42543F5C" w14:textId="77777777" w:rsidR="006B32C6" w:rsidRPr="006B32C6" w:rsidRDefault="006B32C6" w:rsidP="006B32C6">
      <w:r w:rsidRPr="006B32C6">
        <w:t xml:space="preserve">La valutazione cognitiva è argomento interessante e facilmente spendibile in ambito psicodiagnostico tuttavia spesso lo strumento WISC/WAIS viene presentato all’interno di percorsi formativi più ampi (DSA, corsi di psicodiagnostica, etc.) dove non c’è la possibilità di approfondire ulteriormente. Contemporaneamente, essendo un test così diffuso accade frequentemente che gli psicologi o i neuropsichiatri abbiano già avuto esperienze pratiche, arrivando anche ad avere una conoscenza operativa dello strumento senza tuttavia possedere una conoscenza approfondita dell’architettura delle scale </w:t>
      </w:r>
      <w:proofErr w:type="spellStart"/>
      <w:r w:rsidRPr="006B32C6">
        <w:t>Wechsler</w:t>
      </w:r>
      <w:proofErr w:type="spellEnd"/>
      <w:r w:rsidRPr="006B32C6">
        <w:t>. A novembre 2023 inoltre è stata presentata la taratura italiana della quinta edizione della scala di valutazione per l’età evolutiva (WISC-V) e ciò inevitabilmente riduce la qualità dell’offerta formativa preesistente e rende più appetibili prodotti recenti e aggiornati. </w:t>
      </w:r>
    </w:p>
    <w:p w14:paraId="350F7BEC" w14:textId="77777777" w:rsidR="006B32C6" w:rsidRPr="006B32C6" w:rsidRDefault="006B32C6" w:rsidP="006B32C6">
      <w:r w:rsidRPr="006B32C6">
        <w:t> </w:t>
      </w:r>
    </w:p>
    <w:p w14:paraId="2E11DBDC" w14:textId="77777777" w:rsidR="006B32C6" w:rsidRPr="006B32C6" w:rsidRDefault="006B32C6" w:rsidP="006B32C6">
      <w:r w:rsidRPr="006B32C6">
        <w:rPr>
          <w:b/>
          <w:bCs/>
        </w:rPr>
        <w:t>OBIETTIVI DEL CORSO</w:t>
      </w:r>
    </w:p>
    <w:p w14:paraId="7E2C5990" w14:textId="77777777" w:rsidR="006B32C6" w:rsidRPr="006B32C6" w:rsidRDefault="006B32C6" w:rsidP="006B32C6">
      <w:r w:rsidRPr="006B32C6">
        <w:t xml:space="preserve">- Conoscere l’architettura delle scale </w:t>
      </w:r>
      <w:proofErr w:type="spellStart"/>
      <w:r w:rsidRPr="006B32C6">
        <w:t>Wechsler</w:t>
      </w:r>
      <w:proofErr w:type="spellEnd"/>
      <w:r w:rsidRPr="006B32C6">
        <w:t xml:space="preserve"> e la cornice teorica di riferimento della valutazione cognitiva in età scolare e adulta</w:t>
      </w:r>
    </w:p>
    <w:p w14:paraId="0674F6EE" w14:textId="77777777" w:rsidR="006B32C6" w:rsidRPr="006B32C6" w:rsidRDefault="006B32C6" w:rsidP="006B32C6">
      <w:r w:rsidRPr="006B32C6">
        <w:t>- Acquisire conoscenze e competenze nelle procedure di somministrazione, scoring, analisi e interpretazione del profilo cognitivo con gli strumenti WISC-V e WAIS-IV. </w:t>
      </w:r>
    </w:p>
    <w:p w14:paraId="5031C77A" w14:textId="77777777" w:rsidR="006B32C6" w:rsidRPr="006B32C6" w:rsidRDefault="006B32C6" w:rsidP="006B32C6">
      <w:r w:rsidRPr="006B32C6">
        <w:t>- Acquisire conoscenze e competenze nelle buone prassi nella stesura della relazione e nella comunicazione dei risultati della valutazione cognitiva. </w:t>
      </w:r>
    </w:p>
    <w:p w14:paraId="20BE63F2" w14:textId="77777777" w:rsidR="006B32C6" w:rsidRPr="006B32C6" w:rsidRDefault="006B32C6" w:rsidP="006B32C6">
      <w:r w:rsidRPr="006B32C6">
        <w:t>- Conoscere le principali variabili interferenti con il processo di valutazione cognitiva e le buone prassi per supportare la relazione clinica. </w:t>
      </w:r>
    </w:p>
    <w:p w14:paraId="430CFF79" w14:textId="77777777" w:rsidR="006B32C6" w:rsidRPr="006B32C6" w:rsidRDefault="006B32C6" w:rsidP="006B32C6">
      <w:r w:rsidRPr="006B32C6">
        <w:lastRenderedPageBreak/>
        <w:t>-  Conoscere le principali caratterizzazioni del profilo cognitivo in associazione alla psicopatologia dello sviluppo: DSA, ADHD, autismo, NLD, FIL, disabilità intellettiva.</w:t>
      </w:r>
    </w:p>
    <w:p w14:paraId="64B1A683" w14:textId="77777777" w:rsidR="006B32C6" w:rsidRPr="006B32C6" w:rsidRDefault="006B32C6" w:rsidP="006B32C6">
      <w:r w:rsidRPr="006B32C6">
        <w:br/>
      </w:r>
    </w:p>
    <w:p w14:paraId="0E4DDC77" w14:textId="77777777" w:rsidR="006B32C6" w:rsidRPr="006B32C6" w:rsidRDefault="006B32C6" w:rsidP="006B32C6">
      <w:r w:rsidRPr="006B32C6">
        <w:rPr>
          <w:b/>
          <w:bCs/>
        </w:rPr>
        <w:t>COMPETENZE ACQUISITE</w:t>
      </w:r>
    </w:p>
    <w:p w14:paraId="5C0F71C8" w14:textId="77777777" w:rsidR="006B32C6" w:rsidRPr="006B32C6" w:rsidRDefault="006B32C6" w:rsidP="006B32C6">
      <w:r w:rsidRPr="006B32C6">
        <w:t>- Conoscenza della cornice teorica di riferimento nell’ambito di una valutazione cognitiva in età scolare e adulta.</w:t>
      </w:r>
    </w:p>
    <w:p w14:paraId="578CFA78" w14:textId="77777777" w:rsidR="006B32C6" w:rsidRPr="006B32C6" w:rsidRDefault="006B32C6" w:rsidP="006B32C6">
      <w:r w:rsidRPr="006B32C6">
        <w:t xml:space="preserve">- Conoscenza dell’architettura delle scale </w:t>
      </w:r>
      <w:proofErr w:type="spellStart"/>
      <w:r w:rsidRPr="006B32C6">
        <w:t>Wechsler</w:t>
      </w:r>
      <w:proofErr w:type="spellEnd"/>
      <w:r w:rsidRPr="006B32C6">
        <w:t>.</w:t>
      </w:r>
    </w:p>
    <w:p w14:paraId="5671AE40" w14:textId="77777777" w:rsidR="006B32C6" w:rsidRPr="006B32C6" w:rsidRDefault="006B32C6" w:rsidP="006B32C6">
      <w:r w:rsidRPr="006B32C6">
        <w:t>- Conoscenza delle procedure di somministrazione, scoring, analisi e interpretazione del profilo cognitivo.</w:t>
      </w:r>
    </w:p>
    <w:p w14:paraId="6236B33A" w14:textId="77777777" w:rsidR="006B32C6" w:rsidRPr="006B32C6" w:rsidRDefault="006B32C6" w:rsidP="006B32C6">
      <w:r w:rsidRPr="006B32C6">
        <w:t>- Conoscenza della metodologia di stesura della relazione di valutazione cognitiva e di comunicazione dei risultati.</w:t>
      </w:r>
    </w:p>
    <w:p w14:paraId="67869A13" w14:textId="77777777" w:rsidR="006B32C6" w:rsidRPr="006B32C6" w:rsidRDefault="006B32C6" w:rsidP="006B32C6">
      <w:r w:rsidRPr="006B32C6">
        <w:t>- Conoscenza delle principali variabili interferenti con il processo di valutazione cognitiva e delle buone prassi per supportare la relazione clinica.</w:t>
      </w:r>
    </w:p>
    <w:p w14:paraId="31D1BB39" w14:textId="77777777" w:rsidR="006B32C6" w:rsidRPr="006B32C6" w:rsidRDefault="006B32C6" w:rsidP="006B32C6">
      <w:r w:rsidRPr="006B32C6">
        <w:t>- Conoscenza delle principali caratterizzazioni del profilo cognitivo in associazione alla psicopatologia dello sviluppo: DSA, ADHD, autismo, NLD, FIL, disabilità intellettiva.</w:t>
      </w:r>
    </w:p>
    <w:p w14:paraId="560837E6" w14:textId="77777777" w:rsidR="006B32C6" w:rsidRPr="006B32C6" w:rsidRDefault="006B32C6" w:rsidP="006B32C6">
      <w:r w:rsidRPr="006B32C6">
        <w:t> </w:t>
      </w:r>
    </w:p>
    <w:p w14:paraId="14554341" w14:textId="77777777" w:rsidR="006B32C6" w:rsidRPr="006B32C6" w:rsidRDefault="006B32C6" w:rsidP="006B32C6">
      <w:r w:rsidRPr="006B32C6">
        <w:rPr>
          <w:b/>
          <w:bCs/>
        </w:rPr>
        <w:t>SBOCCHI OCCUPAZIONALI</w:t>
      </w:r>
    </w:p>
    <w:p w14:paraId="2601E025" w14:textId="77777777" w:rsidR="006B32C6" w:rsidRPr="006B32C6" w:rsidRDefault="006B32C6" w:rsidP="006B32C6">
      <w:r w:rsidRPr="006B32C6">
        <w:t>Il corso fornisce competenze specifiche per la valutazione cognitiva spendibili in ambito psicodiagnostico; ad esempio per valutazioni DSA, ADHD, autismo, NLD, FIL e disabilità intellettiva.</w:t>
      </w:r>
    </w:p>
    <w:p w14:paraId="62344AC9" w14:textId="77777777" w:rsidR="00970F8B" w:rsidRDefault="00970F8B"/>
    <w:p w14:paraId="0B93496E" w14:textId="77777777" w:rsidR="003E68C0" w:rsidRPr="003E68C0" w:rsidRDefault="003E68C0">
      <w:pPr>
        <w:rPr>
          <w:u w:val="single"/>
        </w:rPr>
      </w:pPr>
      <w:r w:rsidRPr="003E68C0">
        <w:rPr>
          <w:u w:val="single"/>
        </w:rPr>
        <w:t>Contatti:</w:t>
      </w:r>
    </w:p>
    <w:p w14:paraId="2048B664" w14:textId="77777777" w:rsidR="00D57BC8" w:rsidRPr="00EA76A0" w:rsidRDefault="00D57BC8" w:rsidP="00D57BC8">
      <w:r w:rsidRPr="00EA76A0">
        <w:t>Mail: info@psicologilombardia.it</w:t>
      </w:r>
    </w:p>
    <w:p w14:paraId="12D0CEA8" w14:textId="029323D0" w:rsidR="00A13F91" w:rsidRPr="00D57BC8" w:rsidRDefault="00D57BC8" w:rsidP="00D57BC8">
      <w:pPr>
        <w:rPr>
          <w:rFonts w:ascii="Poppins" w:hAnsi="Poppins" w:cs="Poppins"/>
          <w:color w:val="333333"/>
          <w:sz w:val="28"/>
          <w:szCs w:val="28"/>
        </w:rPr>
      </w:pPr>
      <w:r w:rsidRPr="00EA76A0">
        <w:t>Link al corso:</w:t>
      </w:r>
      <w:r w:rsidRPr="00D57BC8">
        <w:rPr>
          <w:rFonts w:cstheme="minorHAnsi"/>
          <w:sz w:val="28"/>
          <w:szCs w:val="28"/>
        </w:rPr>
        <w:t xml:space="preserve"> </w:t>
      </w:r>
      <w:hyperlink r:id="rId6" w:history="1">
        <w:r w:rsidR="006B32C6" w:rsidRPr="00675605">
          <w:rPr>
            <w:rStyle w:val="Collegamentoipertestuale"/>
            <w:rFonts w:cstheme="minorHAnsi"/>
            <w:sz w:val="28"/>
            <w:szCs w:val="28"/>
          </w:rPr>
          <w:t>https://www.psicologilombardia.it/formazione/wisc-v-wais-iv</w:t>
        </w:r>
      </w:hyperlink>
      <w:r w:rsidR="006B32C6">
        <w:rPr>
          <w:rFonts w:cstheme="minorHAnsi"/>
          <w:sz w:val="28"/>
          <w:szCs w:val="28"/>
        </w:rPr>
        <w:t xml:space="preserve"> </w:t>
      </w:r>
    </w:p>
    <w:sectPr w:rsidR="00A13F91" w:rsidRPr="00D57BC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3BFFA" w14:textId="77777777" w:rsidR="00A12531" w:rsidRDefault="00A12531" w:rsidP="000E3747">
      <w:pPr>
        <w:spacing w:after="0" w:line="240" w:lineRule="auto"/>
      </w:pPr>
      <w:r>
        <w:separator/>
      </w:r>
    </w:p>
  </w:endnote>
  <w:endnote w:type="continuationSeparator" w:id="0">
    <w:p w14:paraId="0AC21006" w14:textId="77777777" w:rsidR="00A12531" w:rsidRDefault="00A12531"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20B0604020202020204"/>
    <w:charset w:val="00"/>
    <w:family w:val="swiss"/>
    <w:notTrueType/>
    <w:pitch w:val="default"/>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E7DE0" w14:textId="77777777" w:rsidR="00A12531" w:rsidRDefault="00A12531" w:rsidP="000E3747">
      <w:pPr>
        <w:spacing w:after="0" w:line="240" w:lineRule="auto"/>
      </w:pPr>
      <w:r>
        <w:separator/>
      </w:r>
    </w:p>
  </w:footnote>
  <w:footnote w:type="continuationSeparator" w:id="0">
    <w:p w14:paraId="61DA277A" w14:textId="77777777" w:rsidR="00A12531" w:rsidRDefault="00A12531"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E3747"/>
    <w:rsid w:val="000E48D6"/>
    <w:rsid w:val="003075BF"/>
    <w:rsid w:val="003E68C0"/>
    <w:rsid w:val="004D14A9"/>
    <w:rsid w:val="00523C05"/>
    <w:rsid w:val="005874A9"/>
    <w:rsid w:val="005D2869"/>
    <w:rsid w:val="006B32C6"/>
    <w:rsid w:val="00751B1C"/>
    <w:rsid w:val="00775944"/>
    <w:rsid w:val="00830BDF"/>
    <w:rsid w:val="008B6607"/>
    <w:rsid w:val="00970F8B"/>
    <w:rsid w:val="00997A81"/>
    <w:rsid w:val="009D66EA"/>
    <w:rsid w:val="009E771B"/>
    <w:rsid w:val="009F5840"/>
    <w:rsid w:val="00A12531"/>
    <w:rsid w:val="00A13F91"/>
    <w:rsid w:val="00A23B68"/>
    <w:rsid w:val="00A6516E"/>
    <w:rsid w:val="00AA7B1E"/>
    <w:rsid w:val="00AC765C"/>
    <w:rsid w:val="00B74BFD"/>
    <w:rsid w:val="00B85329"/>
    <w:rsid w:val="00CE71C2"/>
    <w:rsid w:val="00D57BC8"/>
    <w:rsid w:val="00D75C59"/>
    <w:rsid w:val="00E74E89"/>
    <w:rsid w:val="00EA76A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407267031">
      <w:bodyDiv w:val="1"/>
      <w:marLeft w:val="0"/>
      <w:marRight w:val="0"/>
      <w:marTop w:val="0"/>
      <w:marBottom w:val="0"/>
      <w:divBdr>
        <w:top w:val="none" w:sz="0" w:space="0" w:color="auto"/>
        <w:left w:val="none" w:sz="0" w:space="0" w:color="auto"/>
        <w:bottom w:val="none" w:sz="0" w:space="0" w:color="auto"/>
        <w:right w:val="none" w:sz="0" w:space="0" w:color="auto"/>
      </w:divBdr>
    </w:div>
    <w:div w:id="460655080">
      <w:bodyDiv w:val="1"/>
      <w:marLeft w:val="0"/>
      <w:marRight w:val="0"/>
      <w:marTop w:val="0"/>
      <w:marBottom w:val="0"/>
      <w:divBdr>
        <w:top w:val="none" w:sz="0" w:space="0" w:color="auto"/>
        <w:left w:val="none" w:sz="0" w:space="0" w:color="auto"/>
        <w:bottom w:val="none" w:sz="0" w:space="0" w:color="auto"/>
        <w:right w:val="none" w:sz="0" w:space="0" w:color="auto"/>
      </w:divBdr>
    </w:div>
    <w:div w:id="494614195">
      <w:bodyDiv w:val="1"/>
      <w:marLeft w:val="0"/>
      <w:marRight w:val="0"/>
      <w:marTop w:val="0"/>
      <w:marBottom w:val="0"/>
      <w:divBdr>
        <w:top w:val="none" w:sz="0" w:space="0" w:color="auto"/>
        <w:left w:val="none" w:sz="0" w:space="0" w:color="auto"/>
        <w:bottom w:val="none" w:sz="0" w:space="0" w:color="auto"/>
        <w:right w:val="none" w:sz="0" w:space="0" w:color="auto"/>
      </w:divBdr>
    </w:div>
    <w:div w:id="499085029">
      <w:bodyDiv w:val="1"/>
      <w:marLeft w:val="0"/>
      <w:marRight w:val="0"/>
      <w:marTop w:val="0"/>
      <w:marBottom w:val="0"/>
      <w:divBdr>
        <w:top w:val="none" w:sz="0" w:space="0" w:color="auto"/>
        <w:left w:val="none" w:sz="0" w:space="0" w:color="auto"/>
        <w:bottom w:val="none" w:sz="0" w:space="0" w:color="auto"/>
        <w:right w:val="none" w:sz="0" w:space="0" w:color="auto"/>
      </w:divBdr>
    </w:div>
    <w:div w:id="571896048">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787623141">
      <w:bodyDiv w:val="1"/>
      <w:marLeft w:val="0"/>
      <w:marRight w:val="0"/>
      <w:marTop w:val="0"/>
      <w:marBottom w:val="0"/>
      <w:divBdr>
        <w:top w:val="none" w:sz="0" w:space="0" w:color="auto"/>
        <w:left w:val="none" w:sz="0" w:space="0" w:color="auto"/>
        <w:bottom w:val="none" w:sz="0" w:space="0" w:color="auto"/>
        <w:right w:val="none" w:sz="0" w:space="0" w:color="auto"/>
      </w:divBdr>
    </w:div>
    <w:div w:id="799421786">
      <w:bodyDiv w:val="1"/>
      <w:marLeft w:val="0"/>
      <w:marRight w:val="0"/>
      <w:marTop w:val="0"/>
      <w:marBottom w:val="0"/>
      <w:divBdr>
        <w:top w:val="none" w:sz="0" w:space="0" w:color="auto"/>
        <w:left w:val="none" w:sz="0" w:space="0" w:color="auto"/>
        <w:bottom w:val="none" w:sz="0" w:space="0" w:color="auto"/>
        <w:right w:val="none" w:sz="0" w:space="0" w:color="auto"/>
      </w:divBdr>
      <w:divsChild>
        <w:div w:id="1406610921">
          <w:marLeft w:val="0"/>
          <w:marRight w:val="0"/>
          <w:marTop w:val="0"/>
          <w:marBottom w:val="0"/>
          <w:divBdr>
            <w:top w:val="none" w:sz="0" w:space="0" w:color="auto"/>
            <w:left w:val="none" w:sz="0" w:space="0" w:color="auto"/>
            <w:bottom w:val="none" w:sz="0" w:space="0" w:color="auto"/>
            <w:right w:val="none" w:sz="0" w:space="0" w:color="auto"/>
          </w:divBdr>
        </w:div>
        <w:div w:id="1607617058">
          <w:marLeft w:val="0"/>
          <w:marRight w:val="0"/>
          <w:marTop w:val="0"/>
          <w:marBottom w:val="0"/>
          <w:divBdr>
            <w:top w:val="none" w:sz="0" w:space="0" w:color="auto"/>
            <w:left w:val="none" w:sz="0" w:space="0" w:color="auto"/>
            <w:bottom w:val="none" w:sz="0" w:space="0" w:color="auto"/>
            <w:right w:val="none" w:sz="0" w:space="0" w:color="auto"/>
          </w:divBdr>
        </w:div>
        <w:div w:id="565645686">
          <w:marLeft w:val="0"/>
          <w:marRight w:val="0"/>
          <w:marTop w:val="0"/>
          <w:marBottom w:val="0"/>
          <w:divBdr>
            <w:top w:val="none" w:sz="0" w:space="0" w:color="auto"/>
            <w:left w:val="none" w:sz="0" w:space="0" w:color="auto"/>
            <w:bottom w:val="none" w:sz="0" w:space="0" w:color="auto"/>
            <w:right w:val="none" w:sz="0" w:space="0" w:color="auto"/>
          </w:divBdr>
        </w:div>
        <w:div w:id="1717658786">
          <w:marLeft w:val="0"/>
          <w:marRight w:val="0"/>
          <w:marTop w:val="0"/>
          <w:marBottom w:val="0"/>
          <w:divBdr>
            <w:top w:val="none" w:sz="0" w:space="0" w:color="auto"/>
            <w:left w:val="none" w:sz="0" w:space="0" w:color="auto"/>
            <w:bottom w:val="none" w:sz="0" w:space="0" w:color="auto"/>
            <w:right w:val="none" w:sz="0" w:space="0" w:color="auto"/>
          </w:divBdr>
        </w:div>
      </w:divsChild>
    </w:div>
    <w:div w:id="827329049">
      <w:bodyDiv w:val="1"/>
      <w:marLeft w:val="0"/>
      <w:marRight w:val="0"/>
      <w:marTop w:val="0"/>
      <w:marBottom w:val="0"/>
      <w:divBdr>
        <w:top w:val="none" w:sz="0" w:space="0" w:color="auto"/>
        <w:left w:val="none" w:sz="0" w:space="0" w:color="auto"/>
        <w:bottom w:val="none" w:sz="0" w:space="0" w:color="auto"/>
        <w:right w:val="none" w:sz="0" w:space="0" w:color="auto"/>
      </w:divBdr>
    </w:div>
    <w:div w:id="936212739">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327706425">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 w:id="2024475138">
      <w:bodyDiv w:val="1"/>
      <w:marLeft w:val="0"/>
      <w:marRight w:val="0"/>
      <w:marTop w:val="0"/>
      <w:marBottom w:val="0"/>
      <w:divBdr>
        <w:top w:val="none" w:sz="0" w:space="0" w:color="auto"/>
        <w:left w:val="none" w:sz="0" w:space="0" w:color="auto"/>
        <w:bottom w:val="none" w:sz="0" w:space="0" w:color="auto"/>
        <w:right w:val="none" w:sz="0" w:space="0" w:color="auto"/>
      </w:divBdr>
      <w:divsChild>
        <w:div w:id="2069645448">
          <w:marLeft w:val="0"/>
          <w:marRight w:val="0"/>
          <w:marTop w:val="0"/>
          <w:marBottom w:val="0"/>
          <w:divBdr>
            <w:top w:val="none" w:sz="0" w:space="0" w:color="auto"/>
            <w:left w:val="none" w:sz="0" w:space="0" w:color="auto"/>
            <w:bottom w:val="none" w:sz="0" w:space="0" w:color="auto"/>
            <w:right w:val="none" w:sz="0" w:space="0" w:color="auto"/>
          </w:divBdr>
        </w:div>
        <w:div w:id="516313201">
          <w:marLeft w:val="0"/>
          <w:marRight w:val="0"/>
          <w:marTop w:val="0"/>
          <w:marBottom w:val="0"/>
          <w:divBdr>
            <w:top w:val="none" w:sz="0" w:space="0" w:color="auto"/>
            <w:left w:val="none" w:sz="0" w:space="0" w:color="auto"/>
            <w:bottom w:val="none" w:sz="0" w:space="0" w:color="auto"/>
            <w:right w:val="none" w:sz="0" w:space="0" w:color="auto"/>
          </w:divBdr>
        </w:div>
        <w:div w:id="496261952">
          <w:marLeft w:val="0"/>
          <w:marRight w:val="0"/>
          <w:marTop w:val="0"/>
          <w:marBottom w:val="0"/>
          <w:divBdr>
            <w:top w:val="none" w:sz="0" w:space="0" w:color="auto"/>
            <w:left w:val="none" w:sz="0" w:space="0" w:color="auto"/>
            <w:bottom w:val="none" w:sz="0" w:space="0" w:color="auto"/>
            <w:right w:val="none" w:sz="0" w:space="0" w:color="auto"/>
          </w:divBdr>
        </w:div>
        <w:div w:id="1451127956">
          <w:marLeft w:val="0"/>
          <w:marRight w:val="0"/>
          <w:marTop w:val="0"/>
          <w:marBottom w:val="0"/>
          <w:divBdr>
            <w:top w:val="none" w:sz="0" w:space="0" w:color="auto"/>
            <w:left w:val="none" w:sz="0" w:space="0" w:color="auto"/>
            <w:bottom w:val="none" w:sz="0" w:space="0" w:color="auto"/>
            <w:right w:val="none" w:sz="0" w:space="0" w:color="auto"/>
          </w:divBdr>
        </w:div>
        <w:div w:id="154299499">
          <w:marLeft w:val="0"/>
          <w:marRight w:val="0"/>
          <w:marTop w:val="0"/>
          <w:marBottom w:val="0"/>
          <w:divBdr>
            <w:top w:val="none" w:sz="0" w:space="0" w:color="auto"/>
            <w:left w:val="none" w:sz="0" w:space="0" w:color="auto"/>
            <w:bottom w:val="none" w:sz="0" w:space="0" w:color="auto"/>
            <w:right w:val="none" w:sz="0" w:space="0" w:color="auto"/>
          </w:divBdr>
        </w:div>
        <w:div w:id="2007050612">
          <w:marLeft w:val="0"/>
          <w:marRight w:val="0"/>
          <w:marTop w:val="0"/>
          <w:marBottom w:val="0"/>
          <w:divBdr>
            <w:top w:val="none" w:sz="0" w:space="0" w:color="auto"/>
            <w:left w:val="none" w:sz="0" w:space="0" w:color="auto"/>
            <w:bottom w:val="none" w:sz="0" w:space="0" w:color="auto"/>
            <w:right w:val="none" w:sz="0" w:space="0" w:color="auto"/>
          </w:divBdr>
        </w:div>
        <w:div w:id="1249773401">
          <w:marLeft w:val="0"/>
          <w:marRight w:val="0"/>
          <w:marTop w:val="0"/>
          <w:marBottom w:val="0"/>
          <w:divBdr>
            <w:top w:val="none" w:sz="0" w:space="0" w:color="auto"/>
            <w:left w:val="none" w:sz="0" w:space="0" w:color="auto"/>
            <w:bottom w:val="none" w:sz="0" w:space="0" w:color="auto"/>
            <w:right w:val="none" w:sz="0" w:space="0" w:color="auto"/>
          </w:divBdr>
        </w:div>
      </w:divsChild>
    </w:div>
    <w:div w:id="202670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wisc-v-wais-i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527</Words>
  <Characters>3007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d.bassani@grupposperling.it</cp:lastModifiedBy>
  <cp:revision>6</cp:revision>
  <dcterms:created xsi:type="dcterms:W3CDTF">2022-10-03T09:49:00Z</dcterms:created>
  <dcterms:modified xsi:type="dcterms:W3CDTF">2024-09-13T13:41:00Z</dcterms:modified>
</cp:coreProperties>
</file>